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113A" w14:textId="77777777" w:rsidR="00EE459B" w:rsidRDefault="00EE459B" w:rsidP="00EE459B">
      <w:bookmarkStart w:id="0" w:name="_Hlk46933616"/>
    </w:p>
    <w:p w14:paraId="55EDE5B1" w14:textId="3224816A" w:rsidR="00EE459B" w:rsidRPr="001B0217" w:rsidRDefault="00EE459B" w:rsidP="00C144CF">
      <w:pPr>
        <w:rPr>
          <w:rFonts w:ascii="Times New Roman" w:hAnsi="Times New Roman"/>
          <w:color w:val="C00000"/>
          <w:sz w:val="22"/>
          <w:szCs w:val="22"/>
        </w:rPr>
      </w:pPr>
      <w:r w:rsidRPr="001B0217">
        <w:rPr>
          <w:rFonts w:ascii="Times New Roman" w:hAnsi="Times New Roman"/>
          <w:color w:val="C00000"/>
          <w:sz w:val="22"/>
          <w:szCs w:val="22"/>
        </w:rPr>
        <w:t>Prospettive economiche globali</w:t>
      </w:r>
    </w:p>
    <w:p w14:paraId="3D8588DB" w14:textId="77777777" w:rsidR="00C144CF" w:rsidRPr="00C144CF" w:rsidRDefault="00C144CF" w:rsidP="00C144CF">
      <w:pPr>
        <w:rPr>
          <w:rFonts w:ascii="Times New Roman" w:hAnsi="Times New Roman"/>
          <w:color w:val="FF0000"/>
          <w:sz w:val="22"/>
          <w:szCs w:val="22"/>
        </w:rPr>
      </w:pPr>
    </w:p>
    <w:p w14:paraId="027035B8" w14:textId="7DD0FFAF" w:rsidR="00EE459B" w:rsidRPr="00C144CF" w:rsidRDefault="00EE459B" w:rsidP="00C144CF">
      <w:pPr>
        <w:rPr>
          <w:rFonts w:ascii="Times New Roman" w:hAnsi="Times New Roman"/>
          <w:sz w:val="22"/>
          <w:szCs w:val="22"/>
        </w:rPr>
      </w:pPr>
      <w:r w:rsidRPr="00C144CF">
        <w:rPr>
          <w:rFonts w:ascii="Times New Roman" w:hAnsi="Times New Roman"/>
          <w:sz w:val="22"/>
          <w:szCs w:val="22"/>
        </w:rPr>
        <w:t xml:space="preserve">Il quadro di ipotesi </w:t>
      </w:r>
      <w:r w:rsidRPr="00C144CF">
        <w:rPr>
          <w:rFonts w:ascii="Times New Roman" w:hAnsi="Times New Roman"/>
          <w:sz w:val="22"/>
          <w:szCs w:val="22"/>
        </w:rPr>
        <w:t xml:space="preserve">che emerge dagli “Scenari” di </w:t>
      </w:r>
      <w:r w:rsidRPr="00C144CF">
        <w:rPr>
          <w:rFonts w:ascii="Times New Roman" w:hAnsi="Times New Roman"/>
          <w:sz w:val="22"/>
          <w:szCs w:val="22"/>
        </w:rPr>
        <w:t>Prometeia è quello di una veloce fuoriuscita dalla crisi pandemica con un prodotto mondiale che recupera i livelli del 2019 nel corso del 2021.</w:t>
      </w:r>
    </w:p>
    <w:p w14:paraId="0DC065A9" w14:textId="46DFFD7B" w:rsidR="00EE459B" w:rsidRDefault="00EE459B" w:rsidP="00C144CF">
      <w:pPr>
        <w:rPr>
          <w:rFonts w:ascii="Times New Roman" w:hAnsi="Times New Roman"/>
          <w:sz w:val="22"/>
          <w:szCs w:val="22"/>
        </w:rPr>
      </w:pPr>
      <w:r w:rsidRPr="00C144CF">
        <w:rPr>
          <w:rFonts w:ascii="Times New Roman" w:hAnsi="Times New Roman"/>
          <w:sz w:val="22"/>
          <w:szCs w:val="22"/>
        </w:rPr>
        <w:t>Sono forti le differenze nell’evoluzione della congiuntura</w:t>
      </w:r>
      <w:r w:rsidRPr="00C144CF">
        <w:rPr>
          <w:rFonts w:ascii="Times New Roman" w:hAnsi="Times New Roman"/>
          <w:sz w:val="22"/>
          <w:szCs w:val="22"/>
        </w:rPr>
        <w:t>:</w:t>
      </w:r>
      <w:r w:rsidRPr="00C144CF">
        <w:rPr>
          <w:rFonts w:ascii="Times New Roman" w:hAnsi="Times New Roman"/>
          <w:sz w:val="22"/>
          <w:szCs w:val="22"/>
        </w:rPr>
        <w:t xml:space="preserve"> in particolare alla forza dell’economia cinese, che mostra un notevole ritmo di espansione nel 2021, e di quella americana in forte ripresa, si contrappone una leggermente minore dinamicità dell’attività nell’Unione europea. Il commercio mondiale, crollato nel 2020, si sta riprendendo nel 2021 con il rimbalzo dell’attività, che proseguirà nel 2022. La forza della ripresa ha generato una spinta inflazionistica che dalle materie prime e dai trasporti (noli internazionali in particolare) è giunta ai prezzi al consumo, giudicata per ora temporanea dalle banche centrali che manterranno una politica accomodante. Un aumento dei tassi sul dollaro potrebbe peggiorare le condizioni del credito per l’economia mondiale e ne soffrirebbero maggiormente i paesi più esposti sul fronte debitorio, alcuni dell’Unione, e in particolare gli emergenti non produttori di materie prime. Anche in Italia la ripresa si rafforza. </w:t>
      </w:r>
    </w:p>
    <w:p w14:paraId="1A0C3798" w14:textId="77777777" w:rsidR="00C144CF" w:rsidRPr="00C144CF" w:rsidRDefault="00C144CF" w:rsidP="00C144CF">
      <w:pPr>
        <w:rPr>
          <w:rFonts w:ascii="Times New Roman" w:hAnsi="Times New Roman"/>
          <w:sz w:val="22"/>
          <w:szCs w:val="22"/>
        </w:rPr>
      </w:pPr>
    </w:p>
    <w:p w14:paraId="2908C223" w14:textId="24AE039E" w:rsidR="00EE459B" w:rsidRDefault="00EE459B" w:rsidP="00C144CF">
      <w:pPr>
        <w:pStyle w:val="titoloa"/>
        <w:spacing w:before="0" w:after="0"/>
        <w:rPr>
          <w:rFonts w:ascii="Times New Roman" w:hAnsi="Times New Roman"/>
          <w:szCs w:val="22"/>
        </w:rPr>
      </w:pPr>
      <w:bookmarkStart w:id="1" w:name="_Toc78974105"/>
      <w:bookmarkEnd w:id="0"/>
      <w:r w:rsidRPr="00C144CF">
        <w:rPr>
          <w:rFonts w:ascii="Times New Roman" w:hAnsi="Times New Roman"/>
          <w:szCs w:val="22"/>
        </w:rPr>
        <w:t>Pil e conto economico</w:t>
      </w:r>
      <w:bookmarkEnd w:id="1"/>
      <w:r w:rsidRPr="00C144CF">
        <w:rPr>
          <w:rFonts w:ascii="Times New Roman" w:hAnsi="Times New Roman"/>
          <w:szCs w:val="22"/>
        </w:rPr>
        <w:t xml:space="preserve"> in Italia</w:t>
      </w:r>
    </w:p>
    <w:p w14:paraId="0673617C" w14:textId="77777777" w:rsidR="00C144CF" w:rsidRPr="00C144CF" w:rsidRDefault="00C144CF" w:rsidP="00C144CF">
      <w:pPr>
        <w:pStyle w:val="titoloa"/>
        <w:spacing w:before="0" w:after="0"/>
        <w:rPr>
          <w:rFonts w:ascii="Times New Roman" w:hAnsi="Times New Roman"/>
          <w:szCs w:val="22"/>
        </w:rPr>
      </w:pPr>
    </w:p>
    <w:p w14:paraId="5AC43490" w14:textId="77777777" w:rsidR="00EE459B" w:rsidRPr="00C144CF" w:rsidRDefault="00EE459B" w:rsidP="00C144CF">
      <w:pPr>
        <w:rPr>
          <w:rFonts w:ascii="Times New Roman" w:hAnsi="Times New Roman"/>
          <w:sz w:val="22"/>
          <w:szCs w:val="22"/>
        </w:rPr>
      </w:pPr>
      <w:r w:rsidRPr="00C144CF">
        <w:rPr>
          <w:rFonts w:ascii="Times New Roman" w:hAnsi="Times New Roman"/>
          <w:sz w:val="22"/>
          <w:szCs w:val="22"/>
        </w:rPr>
        <w:t xml:space="preserve">Per quest’anno si prevede una ripresa del prodotto interno lordo </w:t>
      </w:r>
      <w:r w:rsidRPr="00C144CF">
        <w:rPr>
          <w:rFonts w:ascii="Times New Roman" w:hAnsi="Times New Roman"/>
          <w:sz w:val="22"/>
          <w:szCs w:val="22"/>
        </w:rPr>
        <w:t xml:space="preserve">al </w:t>
      </w:r>
      <w:r w:rsidRPr="00C144CF">
        <w:rPr>
          <w:rFonts w:ascii="Times New Roman" w:hAnsi="Times New Roman"/>
          <w:sz w:val="22"/>
          <w:szCs w:val="22"/>
        </w:rPr>
        <w:t>+6,5 per cento</w:t>
      </w:r>
      <w:r w:rsidRPr="00C144CF">
        <w:rPr>
          <w:rFonts w:ascii="Times New Roman" w:hAnsi="Times New Roman"/>
          <w:sz w:val="22"/>
          <w:szCs w:val="22"/>
        </w:rPr>
        <w:t xml:space="preserve"> </w:t>
      </w:r>
      <w:r w:rsidRPr="00C144CF">
        <w:rPr>
          <w:rFonts w:ascii="Times New Roman" w:hAnsi="Times New Roman"/>
          <w:sz w:val="22"/>
          <w:szCs w:val="22"/>
        </w:rPr>
        <w:t xml:space="preserve">sostenuta dal contenimento della pandemia grazie al progredire della vaccinazione. </w:t>
      </w:r>
    </w:p>
    <w:p w14:paraId="2D3BD9E2" w14:textId="7248A45E" w:rsidR="00EE459B" w:rsidRPr="00C144CF" w:rsidRDefault="00EE459B" w:rsidP="00C144CF">
      <w:pPr>
        <w:rPr>
          <w:rFonts w:ascii="Times New Roman" w:hAnsi="Times New Roman"/>
          <w:sz w:val="22"/>
          <w:szCs w:val="22"/>
        </w:rPr>
      </w:pPr>
      <w:r w:rsidRPr="00C144CF">
        <w:rPr>
          <w:rFonts w:ascii="Times New Roman" w:hAnsi="Times New Roman"/>
          <w:sz w:val="22"/>
          <w:szCs w:val="22"/>
        </w:rPr>
        <w:t xml:space="preserve">Ne deriva che il Pil nazionale in termini reali nel 2021 risulterà inferiore del 6,6 per cento rispetto a quello del 2009 e di ben 12,4 punti percentuali rispetto al livello del 2007. La ripresa sarà però più contenuta nel 2022 (+3,8 per cento), anche se permetterà comunque a fine anno di recuperare il livello del Pil del 2019 antecedente alla pandemia. </w:t>
      </w:r>
    </w:p>
    <w:p w14:paraId="001EFDEC" w14:textId="307DFA44" w:rsidR="00EE459B" w:rsidRPr="00C144CF" w:rsidRDefault="006E4324" w:rsidP="00C144CF">
      <w:pPr>
        <w:rPr>
          <w:rFonts w:ascii="Times New Roman" w:hAnsi="Times New Roman"/>
          <w:sz w:val="22"/>
          <w:szCs w:val="22"/>
        </w:rPr>
      </w:pPr>
      <w:r w:rsidRPr="00C144CF">
        <w:rPr>
          <w:rFonts w:ascii="Times New Roman" w:hAnsi="Times New Roman"/>
          <w:sz w:val="22"/>
          <w:szCs w:val="22"/>
        </w:rPr>
        <w:t>L</w:t>
      </w:r>
      <w:r w:rsidRPr="00C144CF">
        <w:rPr>
          <w:rFonts w:ascii="Times New Roman" w:hAnsi="Times New Roman"/>
          <w:sz w:val="22"/>
          <w:szCs w:val="22"/>
        </w:rPr>
        <w:t>a ripresa del Pil nel 2021 sarà ben superiore a quella dei maggiori paesi dell’area dell’euro e nel biennio 2021-2022 leggermente superiore a quella francese.</w:t>
      </w:r>
    </w:p>
    <w:p w14:paraId="62FD75B2" w14:textId="77777777" w:rsidR="006D6B77" w:rsidRDefault="006D6B77" w:rsidP="00C144CF">
      <w:pPr>
        <w:rPr>
          <w:rFonts w:ascii="Times New Roman" w:hAnsi="Times New Roman"/>
          <w:sz w:val="22"/>
          <w:szCs w:val="22"/>
        </w:rPr>
      </w:pPr>
    </w:p>
    <w:p w14:paraId="5554C7B3" w14:textId="48D2E4F1" w:rsidR="006D6B77" w:rsidRDefault="006D6B77" w:rsidP="006D6B77">
      <w:pPr>
        <w:pStyle w:val="titoloa"/>
        <w:spacing w:before="0" w:after="0"/>
        <w:rPr>
          <w:rFonts w:ascii="Times New Roman" w:hAnsi="Times New Roman"/>
          <w:szCs w:val="22"/>
        </w:rPr>
      </w:pPr>
      <w:r>
        <w:rPr>
          <w:rFonts w:ascii="Times New Roman" w:hAnsi="Times New Roman"/>
          <w:szCs w:val="22"/>
        </w:rPr>
        <w:t>Il contesto economico in Emilia - Romagna</w:t>
      </w:r>
    </w:p>
    <w:p w14:paraId="7C79523C" w14:textId="77777777" w:rsidR="006D6B77" w:rsidRDefault="006D6B77" w:rsidP="00C144CF">
      <w:pPr>
        <w:rPr>
          <w:rFonts w:ascii="Times New Roman" w:hAnsi="Times New Roman"/>
          <w:sz w:val="22"/>
          <w:szCs w:val="22"/>
        </w:rPr>
      </w:pPr>
    </w:p>
    <w:p w14:paraId="0B7C38FD" w14:textId="309919A3" w:rsidR="00EE459B" w:rsidRPr="00C144CF" w:rsidRDefault="00EE459B" w:rsidP="00C144CF">
      <w:pPr>
        <w:rPr>
          <w:rFonts w:ascii="Times New Roman" w:hAnsi="Times New Roman"/>
          <w:sz w:val="22"/>
          <w:szCs w:val="22"/>
        </w:rPr>
      </w:pPr>
      <w:r w:rsidRPr="00C144CF">
        <w:rPr>
          <w:rFonts w:ascii="Times New Roman" w:hAnsi="Times New Roman"/>
          <w:sz w:val="22"/>
          <w:szCs w:val="22"/>
        </w:rPr>
        <w:t>L’andamento dell’attività in regione mostra un profilo analogo a quello nazionale, ma con una maggiore capacità di riprendersi</w:t>
      </w:r>
      <w:r w:rsidRPr="00C144CF">
        <w:rPr>
          <w:rFonts w:ascii="Times New Roman" w:hAnsi="Times New Roman"/>
          <w:sz w:val="22"/>
          <w:szCs w:val="22"/>
        </w:rPr>
        <w:t xml:space="preserve">, </w:t>
      </w:r>
      <w:r w:rsidRPr="00C144CF">
        <w:rPr>
          <w:rFonts w:ascii="Times New Roman" w:hAnsi="Times New Roman"/>
          <w:sz w:val="22"/>
          <w:szCs w:val="22"/>
        </w:rPr>
        <w:t xml:space="preserve">tanto che il Pil regionale in termini reali nel 2021 dovrebbe risultare </w:t>
      </w:r>
      <w:r w:rsidR="006E4324" w:rsidRPr="00C144CF">
        <w:rPr>
          <w:rFonts w:ascii="Times New Roman" w:hAnsi="Times New Roman"/>
          <w:sz w:val="22"/>
          <w:szCs w:val="22"/>
        </w:rPr>
        <w:t xml:space="preserve">inferiore </w:t>
      </w:r>
      <w:r w:rsidRPr="00C144CF">
        <w:rPr>
          <w:rFonts w:ascii="Times New Roman" w:hAnsi="Times New Roman"/>
          <w:sz w:val="22"/>
          <w:szCs w:val="22"/>
        </w:rPr>
        <w:t>solo del 5,6 per cento rispetto ai livelli minimi toccati al culmine della crisi nel 2009 e solo del 7,8 per cento rispetto a quello del 200</w:t>
      </w:r>
      <w:r w:rsidR="006E4324" w:rsidRPr="00C144CF">
        <w:rPr>
          <w:rFonts w:ascii="Times New Roman" w:hAnsi="Times New Roman"/>
          <w:sz w:val="22"/>
          <w:szCs w:val="22"/>
        </w:rPr>
        <w:t xml:space="preserve">7 e riporterà </w:t>
      </w:r>
      <w:r w:rsidRPr="00C144CF">
        <w:rPr>
          <w:rFonts w:ascii="Times New Roman" w:hAnsi="Times New Roman"/>
          <w:sz w:val="22"/>
          <w:szCs w:val="22"/>
        </w:rPr>
        <w:t xml:space="preserve">l’Emilia-Romagna al vertice nella classifica delle regioni italiane per ritmo di crescita staccando di un’incollatura la Lombardia e il Veneto. </w:t>
      </w:r>
    </w:p>
    <w:p w14:paraId="50624575" w14:textId="77777777" w:rsidR="006E4324" w:rsidRPr="00C144CF" w:rsidRDefault="006E4324" w:rsidP="00C144CF">
      <w:pPr>
        <w:rPr>
          <w:rFonts w:ascii="Times New Roman" w:hAnsi="Times New Roman"/>
          <w:sz w:val="22"/>
          <w:szCs w:val="22"/>
        </w:rPr>
      </w:pPr>
    </w:p>
    <w:p w14:paraId="1DD64824" w14:textId="77777777" w:rsidR="00E500DC" w:rsidRPr="00C144CF" w:rsidRDefault="00EE459B" w:rsidP="00C144CF">
      <w:pPr>
        <w:rPr>
          <w:rFonts w:ascii="Times New Roman" w:hAnsi="Times New Roman"/>
          <w:sz w:val="22"/>
          <w:szCs w:val="22"/>
        </w:rPr>
      </w:pPr>
      <w:r w:rsidRPr="00C144CF">
        <w:rPr>
          <w:rFonts w:ascii="Times New Roman" w:hAnsi="Times New Roman"/>
          <w:sz w:val="22"/>
          <w:szCs w:val="22"/>
        </w:rPr>
        <w:t>La riduzione del reddito disponibile subita lo scorso anno e la tendenza all’aumento dei prezzi in corso limiteranno sensibilmente la ripresa dei consumi nel 2021 (+4,6 per cento), decisamente al di sotto della dinamica del Pil, nonostante lo stop forzato dovuto alla pandemia. Invece, anche senza un’ulteriore accelerazione, il ritmo di crescita dei consumi nel 2022 (+4,6 per cento) supererà quello della crescita del Pil.</w:t>
      </w:r>
    </w:p>
    <w:p w14:paraId="01E06650" w14:textId="409A58A5" w:rsidR="00EE459B" w:rsidRPr="00C144CF" w:rsidRDefault="00EE459B" w:rsidP="00C144CF">
      <w:pPr>
        <w:rPr>
          <w:rFonts w:ascii="Times New Roman" w:hAnsi="Times New Roman"/>
          <w:sz w:val="22"/>
          <w:szCs w:val="22"/>
        </w:rPr>
      </w:pPr>
      <w:r w:rsidRPr="00C144CF">
        <w:rPr>
          <w:rFonts w:ascii="Times New Roman" w:hAnsi="Times New Roman"/>
          <w:sz w:val="22"/>
          <w:szCs w:val="22"/>
        </w:rPr>
        <w:t>Gli effetti della recessione passata sul tenore di vita resteranno evidenti. Nel 2021 i consumi privati aggregati risulteranno inferiori del 4,9 per cento rispetto a quelli del picco del 2011, e il dato complessivo cela un ulteriore aumento della diseguaglianza, derivante dall’asimmetria degli effetti dei blocchi dell’attività sui settori e della caduta del reddito disponibile su specifiche categorie lavorative e settori sociali.</w:t>
      </w:r>
    </w:p>
    <w:p w14:paraId="5DFA0E2D" w14:textId="77777777" w:rsidR="00E500DC" w:rsidRPr="00C144CF" w:rsidRDefault="00EE459B" w:rsidP="00C144CF">
      <w:pPr>
        <w:rPr>
          <w:rFonts w:ascii="Times New Roman" w:hAnsi="Times New Roman"/>
          <w:sz w:val="22"/>
          <w:szCs w:val="22"/>
        </w:rPr>
      </w:pPr>
      <w:r w:rsidRPr="00C144CF">
        <w:rPr>
          <w:rFonts w:ascii="Times New Roman" w:hAnsi="Times New Roman"/>
          <w:sz w:val="22"/>
          <w:szCs w:val="22"/>
        </w:rPr>
        <w:t xml:space="preserve">Gli investimenti fissi lordi grazie alla ripresa dell’attività produttiva e ai massicci interventi pubblici registreranno un vero “boom” nel 2021 (+18,2 per cento), che trainerà la ripresa e recupererà più che pienamente i livelli di accumulazione precedenti alla pandemia. </w:t>
      </w:r>
    </w:p>
    <w:p w14:paraId="32DD288F" w14:textId="77777777" w:rsidR="00E500DC" w:rsidRPr="00C144CF" w:rsidRDefault="00EE459B" w:rsidP="00C144CF">
      <w:pPr>
        <w:rPr>
          <w:rFonts w:ascii="Times New Roman" w:hAnsi="Times New Roman"/>
          <w:sz w:val="22"/>
          <w:szCs w:val="22"/>
        </w:rPr>
      </w:pPr>
      <w:r w:rsidRPr="00C144CF">
        <w:rPr>
          <w:rFonts w:ascii="Times New Roman" w:hAnsi="Times New Roman"/>
          <w:sz w:val="22"/>
          <w:szCs w:val="22"/>
        </w:rPr>
        <w:t xml:space="preserve">Nel caso di un’evoluzione controllata della crisi sanitaria, la ripresa nel 2022 sarà meno rapida, ma ancora decisamente sostenuta dagli investimenti (+8,9 per cento), grazie anche ai massicci interventi pubblici. </w:t>
      </w:r>
    </w:p>
    <w:p w14:paraId="18C1C0A4" w14:textId="5CFEB7C7" w:rsidR="00EE459B" w:rsidRPr="00C144CF" w:rsidRDefault="00EE459B" w:rsidP="00C144CF">
      <w:pPr>
        <w:rPr>
          <w:rFonts w:ascii="Times New Roman" w:hAnsi="Times New Roman"/>
          <w:sz w:val="22"/>
          <w:szCs w:val="22"/>
        </w:rPr>
      </w:pPr>
      <w:r w:rsidRPr="00C144CF">
        <w:rPr>
          <w:rFonts w:ascii="Times New Roman" w:hAnsi="Times New Roman"/>
          <w:sz w:val="22"/>
          <w:szCs w:val="22"/>
        </w:rPr>
        <w:t>Nonostante tutto ciò, resta di fondo la questione dei livelli di accumulazione dell’economia, che nel 2021 saranno comunque inferiori del 13,2 per cento rispetto a quelli del precedente massimo risalente ormai al 2008, precedente al declino del settore delle costruzioni.</w:t>
      </w:r>
    </w:p>
    <w:p w14:paraId="5C08022F" w14:textId="77777777" w:rsidR="00EE459B" w:rsidRPr="00C144CF" w:rsidRDefault="00EE459B" w:rsidP="00C144CF">
      <w:pPr>
        <w:rPr>
          <w:rFonts w:ascii="Times New Roman" w:hAnsi="Times New Roman"/>
          <w:sz w:val="22"/>
          <w:szCs w:val="22"/>
        </w:rPr>
      </w:pPr>
      <w:r w:rsidRPr="00C144CF">
        <w:rPr>
          <w:rFonts w:ascii="Times New Roman" w:hAnsi="Times New Roman"/>
          <w:sz w:val="22"/>
          <w:szCs w:val="22"/>
        </w:rPr>
        <w:t xml:space="preserve">Grazie alla ripresa del commercio mondiale, le vendite all’estero offriranno un consistente sostegno alla ripresa nel 2021 (+13,4 per cento), oltrepassando i livelli reali precedenti alla pandemia già al termine dell’anno in corso. Anche in questo caso, nonostante un rallentamento della dinamica della crescita delle vendite all’estero nel 2022 (+8,6 per cento), le esportazioni forniranno un notevole contributo positivo alla ripresa. Al termine dell’anno corrente il valore reale delle esportazioni regionali dovrebbe risultare superiore del 4,6 per cento a quello del 2019 e del 34,0 per cento al livello massimo precedente la lontana crisi finanziaria, toccato nel 2007. </w:t>
      </w:r>
      <w:r w:rsidRPr="00C144CF">
        <w:rPr>
          <w:rFonts w:ascii="Times New Roman" w:hAnsi="Times New Roman"/>
          <w:sz w:val="22"/>
          <w:szCs w:val="22"/>
        </w:rPr>
        <w:lastRenderedPageBreak/>
        <w:t>Si tratta di un chiaro indicatore dell’importanza assunta dai mercati esteri nel sostenere l’attività e i redditi regionali.</w:t>
      </w:r>
    </w:p>
    <w:p w14:paraId="4FCC8980" w14:textId="77777777" w:rsidR="006D6B77" w:rsidRDefault="006D6B77" w:rsidP="00C144CF">
      <w:pPr>
        <w:pStyle w:val="titoloa"/>
        <w:spacing w:before="0" w:after="0"/>
        <w:rPr>
          <w:rFonts w:ascii="Times New Roman" w:hAnsi="Times New Roman"/>
          <w:szCs w:val="22"/>
        </w:rPr>
      </w:pPr>
      <w:bookmarkStart w:id="2" w:name="_Toc78974107"/>
    </w:p>
    <w:p w14:paraId="3A48B52B" w14:textId="762A4CAD" w:rsidR="00EE459B" w:rsidRDefault="00EE459B" w:rsidP="00C144CF">
      <w:pPr>
        <w:pStyle w:val="titoloa"/>
        <w:spacing w:before="0" w:after="0"/>
        <w:rPr>
          <w:rFonts w:ascii="Times New Roman" w:hAnsi="Times New Roman"/>
          <w:szCs w:val="22"/>
        </w:rPr>
      </w:pPr>
      <w:r w:rsidRPr="00C144CF">
        <w:rPr>
          <w:rFonts w:ascii="Times New Roman" w:hAnsi="Times New Roman"/>
          <w:szCs w:val="22"/>
        </w:rPr>
        <w:t>La formazione del valore aggiunto: i settori</w:t>
      </w:r>
      <w:bookmarkEnd w:id="2"/>
    </w:p>
    <w:p w14:paraId="1D19886B" w14:textId="77777777" w:rsidR="00C144CF" w:rsidRPr="00C144CF" w:rsidRDefault="00C144CF" w:rsidP="00C144CF">
      <w:pPr>
        <w:pStyle w:val="titoloa"/>
        <w:spacing w:before="0" w:after="0"/>
        <w:rPr>
          <w:rFonts w:ascii="Times New Roman" w:hAnsi="Times New Roman"/>
          <w:szCs w:val="22"/>
        </w:rPr>
      </w:pPr>
    </w:p>
    <w:p w14:paraId="4872EE21" w14:textId="77777777" w:rsidR="00EE459B" w:rsidRPr="00C144CF" w:rsidRDefault="00EE459B" w:rsidP="00C144CF">
      <w:pPr>
        <w:rPr>
          <w:rFonts w:ascii="Times New Roman" w:hAnsi="Times New Roman"/>
          <w:sz w:val="22"/>
          <w:szCs w:val="22"/>
        </w:rPr>
      </w:pPr>
      <w:r w:rsidRPr="00C144CF">
        <w:rPr>
          <w:rFonts w:ascii="Times New Roman" w:hAnsi="Times New Roman"/>
          <w:sz w:val="22"/>
          <w:szCs w:val="22"/>
        </w:rPr>
        <w:t xml:space="preserve">Nel 2021, la ripresa sarà decisamente solo parziale nei servizi, molto più pronta nell’industria, capace di recuperare quasi interamente quanto perduto, ma saranno soprattutto le costruzioni a trarre ampio vantaggio dalle misure adottate a favore della ristrutturazione edilizia e dai piani di investimento pubblico. Nel 2022 la crescita rallenterà decisamente nell’industria e nelle costruzioni, anche se queste ultime resteranno il settore trainante dell’attività economica, mentre si manterrà costante nei servizi. </w:t>
      </w:r>
    </w:p>
    <w:p w14:paraId="7C263264" w14:textId="77777777" w:rsidR="00EE459B" w:rsidRPr="00C144CF" w:rsidRDefault="00EE459B" w:rsidP="00C144CF">
      <w:pPr>
        <w:rPr>
          <w:rFonts w:ascii="Times New Roman" w:hAnsi="Times New Roman"/>
          <w:sz w:val="22"/>
          <w:szCs w:val="22"/>
        </w:rPr>
      </w:pPr>
      <w:r w:rsidRPr="00C144CF">
        <w:rPr>
          <w:rFonts w:ascii="Times New Roman" w:hAnsi="Times New Roman"/>
          <w:sz w:val="22"/>
          <w:szCs w:val="22"/>
        </w:rPr>
        <w:t>In dettaglio, nel 2021 la ripresa condurrà a una crescita del valore aggiunto reale prodotto dall’industria in senso stretto regionale del 10,5 per cento. Esaurita la spinta del recupero dei livelli di attività precedenti, nel 2022 la crescita si ridurrà sensibilmente (+2,4 per cento), tenuto conto delle difficoltà delle catene di fornitura e dell’aumento delle matrie prime. Al termine dell’anno corrente, il valore aggiunto reale dell’industria risulterà inferiore di meno di un punto percentuale rispetto a quello del 2019, ma sarà superiore di solo il 5,3 per cento rispetto al massimo precedente la crisi finanziaria del 2007.</w:t>
      </w:r>
    </w:p>
    <w:p w14:paraId="60680E54" w14:textId="77777777" w:rsidR="00EE459B" w:rsidRPr="00C144CF" w:rsidRDefault="00EE459B" w:rsidP="00C144CF">
      <w:pPr>
        <w:rPr>
          <w:rFonts w:ascii="Times New Roman" w:hAnsi="Times New Roman"/>
          <w:sz w:val="22"/>
          <w:szCs w:val="22"/>
        </w:rPr>
      </w:pPr>
      <w:r w:rsidRPr="00C144CF">
        <w:rPr>
          <w:rFonts w:ascii="Times New Roman" w:hAnsi="Times New Roman"/>
          <w:sz w:val="22"/>
          <w:szCs w:val="22"/>
        </w:rPr>
        <w:t>Grazie ai piani di investimento pubblico e alle misure di incentivazione adottate dal governo a sostegno del settore, della sicurezza sismica e della sostenibilità ambientale nel 2021 si avrà un vero boom del valore aggiunto reale delle costruzioni (+20,9 per cento), che trainerà la ripresa complessiva. Nonostante un ragionevole rallentamento, la tendenza positiva proseguirà con decisione anche nel 2022 (+7,9 per cento), come le misure di sostegno adottate, quando sarà ancora il settore delle costruzioni a trainare la crescita. Ma al termine del corrente anno il valore aggiunto delle costruzioni anche se risulterà superiore del 13,3 per cento a quello del 2019, sarà ancora inferiore del 31,9 per cento rispetto agli eccessi del precedente massimo del 2007, a testimonianza del ridimensionamento del settore.</w:t>
      </w:r>
    </w:p>
    <w:p w14:paraId="12FA8ADA" w14:textId="77933D4B" w:rsidR="00EE459B" w:rsidRDefault="00EE459B" w:rsidP="00C144CF">
      <w:pPr>
        <w:rPr>
          <w:rFonts w:ascii="Times New Roman" w:hAnsi="Times New Roman"/>
          <w:sz w:val="22"/>
          <w:szCs w:val="22"/>
        </w:rPr>
      </w:pPr>
      <w:r w:rsidRPr="00C144CF">
        <w:rPr>
          <w:rFonts w:ascii="Times New Roman" w:hAnsi="Times New Roman"/>
          <w:sz w:val="22"/>
          <w:szCs w:val="22"/>
        </w:rPr>
        <w:t>Gli effetti negativi dello shock da coronavirus si sono fatti sentire più a lungo e duramente nel settore dei servizi. Tanto che nel 2021 la ripresa del valore aggiunto settoriale sarà solo decisamente parziale (+4,2 per cento) e la più contenuta rispetto agli altri macrosettori, data la maggiore difficoltà ad affrontare gli effetti della pandemia nella prima metà dell’anno in corso e la contenuta ripresa della domanda delle famiglie. Purtroppo, il modello non ci permette di osservare in dettaglio i macrosettori dei servizi, alcuni dei quali hanno ben resistito e sono in forte ripresa, mentre altri hanno sofferto duramente e tarderanno a risollevarsi. Con la ripresa dei consumi, la tendenza positiva dovrebbe mantenere il suo ritmo di crescita anche nel 2022 (+4,2 per cento), al contrario di quanto avverrà per gli altri settori. Il valore aggiunto dei servizi dovrebbe recuperare quasi esattamente i livelli del 2019 solo alla fine del 2022, mentre al termine dell’anno corrente dovrebbe risultare inferiore dell’1,3 per cento rispetto al precedente massimo antecedente la crisi finanziaria e toccato nel 2008, soprattutto per effetto della compressione dei consumi e dell’aumento della diseguaglianza.</w:t>
      </w:r>
    </w:p>
    <w:p w14:paraId="66A370F0" w14:textId="77777777" w:rsidR="00C144CF" w:rsidRPr="00C144CF" w:rsidRDefault="00C144CF" w:rsidP="00C144CF">
      <w:pPr>
        <w:rPr>
          <w:rFonts w:ascii="Times New Roman" w:hAnsi="Times New Roman"/>
          <w:sz w:val="22"/>
          <w:szCs w:val="22"/>
        </w:rPr>
      </w:pPr>
    </w:p>
    <w:p w14:paraId="30AD9AF9" w14:textId="2730896C" w:rsidR="00EE459B" w:rsidRDefault="00EE459B" w:rsidP="00C144CF">
      <w:pPr>
        <w:pStyle w:val="titoloa"/>
        <w:spacing w:before="0" w:after="0"/>
        <w:rPr>
          <w:rFonts w:ascii="Times New Roman" w:hAnsi="Times New Roman"/>
          <w:szCs w:val="22"/>
        </w:rPr>
      </w:pPr>
      <w:bookmarkStart w:id="3" w:name="_Toc78974108"/>
      <w:r w:rsidRPr="00C144CF">
        <w:rPr>
          <w:rFonts w:ascii="Times New Roman" w:hAnsi="Times New Roman"/>
          <w:szCs w:val="22"/>
        </w:rPr>
        <w:t>Il mercato del lavoro</w:t>
      </w:r>
      <w:bookmarkEnd w:id="3"/>
    </w:p>
    <w:p w14:paraId="0C14ACBC" w14:textId="77777777" w:rsidR="00C144CF" w:rsidRPr="00C144CF" w:rsidRDefault="00C144CF" w:rsidP="00C144CF">
      <w:pPr>
        <w:pStyle w:val="titoloa"/>
        <w:spacing w:before="0" w:after="0"/>
        <w:rPr>
          <w:rFonts w:ascii="Times New Roman" w:hAnsi="Times New Roman"/>
          <w:szCs w:val="22"/>
        </w:rPr>
      </w:pPr>
    </w:p>
    <w:p w14:paraId="34ECBF8B" w14:textId="77777777" w:rsidR="00EE459B" w:rsidRPr="00C144CF" w:rsidRDefault="00EE459B" w:rsidP="00C144CF">
      <w:pPr>
        <w:rPr>
          <w:rFonts w:ascii="Times New Roman" w:hAnsi="Times New Roman"/>
          <w:sz w:val="22"/>
          <w:szCs w:val="22"/>
        </w:rPr>
      </w:pPr>
      <w:r w:rsidRPr="00C144CF">
        <w:rPr>
          <w:rFonts w:ascii="Times New Roman" w:hAnsi="Times New Roman"/>
          <w:sz w:val="22"/>
          <w:szCs w:val="22"/>
        </w:rPr>
        <w:t>Nel 2021 l’occupazione riprenderà a crescere, ma un rientro parziale sul mercato del lavoro di chi ne era uscito temporaneamente aumenterà ulteriormente il tasso di disoccupazione, che salirà ai massimi dal 2017 e che, sempre per un aumento delle forze lavoro più rapido di quello dell’occupazione, tenderà ad aumentare ulteriormente nel 2022.</w:t>
      </w:r>
    </w:p>
    <w:p w14:paraId="797D1621" w14:textId="77777777" w:rsidR="00EE459B" w:rsidRPr="00C144CF" w:rsidRDefault="00EE459B" w:rsidP="00C144CF">
      <w:pPr>
        <w:rPr>
          <w:rFonts w:ascii="Times New Roman" w:hAnsi="Times New Roman"/>
          <w:sz w:val="22"/>
          <w:szCs w:val="22"/>
        </w:rPr>
      </w:pPr>
      <w:r w:rsidRPr="00C144CF">
        <w:rPr>
          <w:rFonts w:ascii="Times New Roman" w:hAnsi="Times New Roman"/>
          <w:sz w:val="22"/>
          <w:szCs w:val="22"/>
        </w:rPr>
        <w:t>In dettaglio, nel 2021 nonostante la ripresa dell’attività e le riaperture possibili, le forze di lavoro cresceranno moderatamente (+0,7 per cento), ma nel 2022 il loro l’aumento dovrebbe rapidamente compensare quasi del tutto (+2,0 per cento) il calo subito nel 2020. Il tasso di attività, calcolato come quota sulla popolazione presente totale, migliorerà solo marginalmente nel 2021 al 47,5 per cento e si riprenderà più decisamente nel 2022 al 48,4 per cento, giungendo un decimo di punto al di sotto del livello del 2019.</w:t>
      </w:r>
    </w:p>
    <w:p w14:paraId="4EC6D9A3" w14:textId="77777777" w:rsidR="00EE459B" w:rsidRPr="00C144CF" w:rsidRDefault="00EE459B" w:rsidP="00C144CF">
      <w:pPr>
        <w:rPr>
          <w:rFonts w:ascii="Times New Roman" w:hAnsi="Times New Roman"/>
          <w:sz w:val="22"/>
          <w:szCs w:val="22"/>
        </w:rPr>
      </w:pPr>
      <w:r w:rsidRPr="00C144CF">
        <w:rPr>
          <w:rFonts w:ascii="Times New Roman" w:hAnsi="Times New Roman"/>
          <w:sz w:val="22"/>
          <w:szCs w:val="22"/>
        </w:rPr>
        <w:t>Nonostante le misure di salvaguardia adottate, la pandemia ha inciso sensibilmente sull’occupazione, colpendo particolarmente i lavoratori non tutelati e con effetti protratti nel tempo. Con la ripresa la tendenza negativa si arresterà nel 2021 e si registrerà un primo parziale recupero dello 0,5 per cento. Un’accelerazione della crescita dell’occupazione la si avrà solo nel 2022 (+1,5 per cento), ma questa lascerà comunque l’occupazione ancora al di sotto del livello del 2019 di quasi un punto percentuale.</w:t>
      </w:r>
    </w:p>
    <w:p w14:paraId="3D98208D" w14:textId="77777777" w:rsidR="00EE459B" w:rsidRPr="00C144CF" w:rsidRDefault="00EE459B" w:rsidP="00C144CF">
      <w:pPr>
        <w:rPr>
          <w:rFonts w:ascii="Times New Roman" w:hAnsi="Times New Roman"/>
          <w:sz w:val="22"/>
          <w:szCs w:val="22"/>
        </w:rPr>
      </w:pPr>
      <w:r w:rsidRPr="00C144CF">
        <w:rPr>
          <w:rFonts w:ascii="Times New Roman" w:hAnsi="Times New Roman"/>
          <w:sz w:val="22"/>
          <w:szCs w:val="22"/>
        </w:rPr>
        <w:t xml:space="preserve">Il tasso di occupazione non è sceso tanto quanto si poteva temere lo scorso anno, grazie alle misure adottate a tutela dell’occupazione (44,5 per cento), si riprenderà solo lievemente nel 2021 al 44,7 per cento e nonostante la ripresa non dovrebbe risalire oltre il 45,3 per cento nel 2022, tornando al livello del 2018. A fine anno risulterà inferiore di 2,6 punti rispetto al precedente massimo assoluto risalente al 2002. </w:t>
      </w:r>
    </w:p>
    <w:p w14:paraId="10258F00" w14:textId="77777777" w:rsidR="00EE459B" w:rsidRPr="00C144CF" w:rsidRDefault="00EE459B" w:rsidP="00C144CF">
      <w:pPr>
        <w:rPr>
          <w:rFonts w:ascii="Times New Roman" w:hAnsi="Times New Roman"/>
          <w:sz w:val="22"/>
          <w:szCs w:val="22"/>
        </w:rPr>
      </w:pPr>
      <w:r w:rsidRPr="00C144CF">
        <w:rPr>
          <w:rFonts w:ascii="Times New Roman" w:hAnsi="Times New Roman"/>
          <w:sz w:val="22"/>
          <w:szCs w:val="22"/>
        </w:rPr>
        <w:lastRenderedPageBreak/>
        <w:t>Il tasso di disoccupazione era pari al 2,8 per cento nel 2002 e era salito all’8,4 per cento nel 2013 per poi gradualmente ridiscendere al 5,5 per cento nel 2019. Lo scorso anno è salito solo al 5,8 per cento, grazie alle misure di sostegno all’occupazione introdotte, ma anche per l’ampia fuoriuscita dal mercato del lavoro. Le conseguenze negative della pandemia sul mercato del lavoro porteranno ancora in alto il tasso di disoccupazione che nel 2021 dovrebbe salire al 6,0 per cento, il livello più elevato dal 2017, senza arrestare la tendenza negativa che nel 2022 lo farà giungere al 6,4 per cento.</w:t>
      </w:r>
    </w:p>
    <w:p w14:paraId="7E5EA24A" w14:textId="77777777" w:rsidR="00EE459B" w:rsidRPr="00C144CF" w:rsidRDefault="00EE459B" w:rsidP="00C144CF">
      <w:pPr>
        <w:rPr>
          <w:rFonts w:ascii="Times New Roman" w:hAnsi="Times New Roman"/>
          <w:sz w:val="22"/>
          <w:szCs w:val="22"/>
        </w:rPr>
      </w:pPr>
    </w:p>
    <w:sectPr w:rsidR="00EE459B" w:rsidRPr="00C144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9B"/>
    <w:rsid w:val="001B0217"/>
    <w:rsid w:val="006D6B77"/>
    <w:rsid w:val="006E4324"/>
    <w:rsid w:val="00C144CF"/>
    <w:rsid w:val="00E500DC"/>
    <w:rsid w:val="00EE45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3176"/>
  <w15:chartTrackingRefBased/>
  <w15:docId w15:val="{124D8B5F-DE53-4A0A-9093-4FF68AE0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459B"/>
    <w:pPr>
      <w:spacing w:after="0" w:line="240" w:lineRule="auto"/>
      <w:jc w:val="both"/>
    </w:pPr>
    <w:rPr>
      <w:rFonts w:ascii="Arial" w:eastAsia="Times New Roman" w:hAnsi="Arial" w:cs="Times New Roman"/>
      <w:sz w:val="19"/>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fonte">
    <w:name w:val="tab fonte"/>
    <w:basedOn w:val="Normale"/>
    <w:qFormat/>
    <w:rsid w:val="00EE459B"/>
    <w:pPr>
      <w:keepLines/>
      <w:spacing w:before="60"/>
    </w:pPr>
    <w:rPr>
      <w:color w:val="C00000"/>
      <w:sz w:val="16"/>
    </w:rPr>
  </w:style>
  <w:style w:type="paragraph" w:customStyle="1" w:styleId="titoloa">
    <w:name w:val="titolo a"/>
    <w:basedOn w:val="Normale"/>
    <w:qFormat/>
    <w:rsid w:val="00EE459B"/>
    <w:pPr>
      <w:keepNext/>
      <w:keepLines/>
      <w:spacing w:before="120" w:after="60"/>
      <w:outlineLvl w:val="1"/>
    </w:pPr>
    <w:rPr>
      <w:color w:val="C00000"/>
      <w:sz w:val="22"/>
    </w:rPr>
  </w:style>
  <w:style w:type="paragraph" w:customStyle="1" w:styleId="tabtitolo">
    <w:name w:val="tab titolo"/>
    <w:basedOn w:val="Normale"/>
    <w:qFormat/>
    <w:rsid w:val="00EE459B"/>
    <w:pPr>
      <w:keepNext/>
      <w:keepLines/>
      <w:spacing w:after="60"/>
    </w:pPr>
    <w:rPr>
      <w:i/>
      <w:color w:val="C00000"/>
      <w:sz w:val="16"/>
    </w:rPr>
  </w:style>
  <w:style w:type="paragraph" w:customStyle="1" w:styleId="tabetic">
    <w:name w:val="tab etic"/>
    <w:basedOn w:val="Normale"/>
    <w:qFormat/>
    <w:rsid w:val="00EE459B"/>
    <w:pPr>
      <w:keepLines/>
      <w:tabs>
        <w:tab w:val="left" w:pos="113"/>
        <w:tab w:val="left" w:pos="227"/>
      </w:tabs>
      <w:spacing w:after="20"/>
      <w:jc w:val="left"/>
    </w:pPr>
    <w:rPr>
      <w:sz w:val="16"/>
    </w:rPr>
  </w:style>
  <w:style w:type="paragraph" w:customStyle="1" w:styleId="tabnote">
    <w:name w:val="tab note"/>
    <w:basedOn w:val="Normale"/>
    <w:qFormat/>
    <w:rsid w:val="00EE459B"/>
    <w:pPr>
      <w:keepLines/>
      <w:spacing w:before="60"/>
    </w:pPr>
    <w:rPr>
      <w:sz w:val="16"/>
    </w:rPr>
  </w:style>
  <w:style w:type="paragraph" w:customStyle="1" w:styleId="tabnum">
    <w:name w:val="tab num"/>
    <w:basedOn w:val="tabetic"/>
    <w:qFormat/>
    <w:rsid w:val="00EE459B"/>
    <w:pPr>
      <w:tabs>
        <w:tab w:val="clear" w:pos="113"/>
        <w:tab w:val="clear" w:pos="227"/>
      </w:tabs>
      <w:jc w:val="right"/>
    </w:pPr>
  </w:style>
  <w:style w:type="paragraph" w:customStyle="1" w:styleId="tabintest">
    <w:name w:val="tab intest"/>
    <w:basedOn w:val="Normale"/>
    <w:qFormat/>
    <w:rsid w:val="00EE459B"/>
    <w:pPr>
      <w:keepLines/>
      <w:spacing w:before="60" w:after="60"/>
      <w:jc w:val="center"/>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1577</Words>
  <Characters>8993</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Casadio</dc:creator>
  <cp:keywords/>
  <dc:description/>
  <cp:lastModifiedBy>Matteo Casadio</cp:lastModifiedBy>
  <cp:revision>3</cp:revision>
  <dcterms:created xsi:type="dcterms:W3CDTF">2021-12-13T16:32:00Z</dcterms:created>
  <dcterms:modified xsi:type="dcterms:W3CDTF">2021-12-13T16:52:00Z</dcterms:modified>
</cp:coreProperties>
</file>